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BC" w:rsidRPr="00303E8C" w:rsidRDefault="004E69BC" w:rsidP="004E69BC">
      <w:pPr>
        <w:pStyle w:val="ConsPlusNormal0"/>
        <w:suppressAutoHyphens/>
        <w:jc w:val="center"/>
        <w:rPr>
          <w:rFonts w:ascii="Times New Roman" w:hAnsi="Times New Roman" w:cs="Times New Roman"/>
          <w:b/>
        </w:rPr>
      </w:pPr>
      <w:r w:rsidRPr="00303E8C">
        <w:rPr>
          <w:rFonts w:ascii="Times New Roman" w:hAnsi="Times New Roman" w:cs="Times New Roman"/>
          <w:b/>
        </w:rPr>
        <w:t>Паспорт муниципальной программы</w:t>
      </w:r>
    </w:p>
    <w:p w:rsidR="004E69BC" w:rsidRPr="00303E8C" w:rsidRDefault="004E69BC" w:rsidP="004E69BC">
      <w:pPr>
        <w:pStyle w:val="ConsPlusNormal0"/>
        <w:suppressAutoHyphens/>
        <w:jc w:val="center"/>
        <w:rPr>
          <w:rFonts w:ascii="Times New Roman" w:hAnsi="Times New Roman" w:cs="Times New Roman"/>
          <w:b/>
        </w:rPr>
      </w:pPr>
      <w:r w:rsidRPr="00303E8C">
        <w:rPr>
          <w:rFonts w:ascii="Times New Roman" w:hAnsi="Times New Roman" w:cs="Times New Roman"/>
          <w:b/>
        </w:rPr>
        <w:t>муниципального образования городского округа «Инта»</w:t>
      </w:r>
    </w:p>
    <w:p w:rsidR="004E69BC" w:rsidRPr="00303E8C" w:rsidRDefault="004E69BC" w:rsidP="004E69BC">
      <w:pPr>
        <w:pStyle w:val="ConsPlusNormal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92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0"/>
        <w:gridCol w:w="3631"/>
        <w:gridCol w:w="5129"/>
      </w:tblGrid>
      <w:tr w:rsidR="004E69BC" w:rsidRPr="00303E8C" w:rsidTr="004E69BC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№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proofErr w:type="gramStart"/>
            <w:r w:rsidRPr="00303E8C">
              <w:rPr>
                <w:sz w:val="22"/>
                <w:szCs w:val="22"/>
              </w:rPr>
              <w:t>п</w:t>
            </w:r>
            <w:proofErr w:type="gramEnd"/>
            <w:r w:rsidRPr="00303E8C">
              <w:rPr>
                <w:sz w:val="22"/>
                <w:szCs w:val="22"/>
              </w:rPr>
              <w:t>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 Муниципальная программа муниципального образования городского округа «Инта» «Муниципальное управление»</w:t>
            </w:r>
          </w:p>
        </w:tc>
      </w:tr>
      <w:tr w:rsidR="004E69BC" w:rsidRPr="00303E8C" w:rsidTr="004E69BC">
        <w:trPr>
          <w:trHeight w:val="4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Ответственный исполнитель            </w:t>
            </w:r>
            <w:r w:rsidRPr="00303E8C">
              <w:rPr>
                <w:sz w:val="22"/>
                <w:szCs w:val="22"/>
              </w:rPr>
              <w:br/>
              <w:t xml:space="preserve">муниципальной программы       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 w:rsidP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Администрация муниципального образования городского округа «Инта» (в лице отдела по управлению муниципальным имуществом)</w:t>
            </w:r>
          </w:p>
        </w:tc>
      </w:tr>
      <w:tr w:rsidR="004E69BC" w:rsidRPr="00303E8C" w:rsidTr="004E69BC">
        <w:trPr>
          <w:trHeight w:val="4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2.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Соисполнители муниципальной        </w:t>
            </w:r>
            <w:r w:rsidRPr="00303E8C">
              <w:rPr>
                <w:sz w:val="22"/>
                <w:szCs w:val="22"/>
              </w:rPr>
              <w:br/>
              <w:t xml:space="preserve">программы                       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- Администрация муниципального образования городского округа «Инта» (в лице отдела информатизации и защиты информации)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- Администрация муниципального образования городского округа «Инта» (в лице отдела финансов и бухгалтерского учета)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-Администрация муниципального образования (в лице комитета по законодательству и местному самоуправлению)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- Финансовое управление администрации МОГО «Инта»</w:t>
            </w:r>
          </w:p>
        </w:tc>
      </w:tr>
      <w:tr w:rsidR="004E69BC" w:rsidRPr="00303E8C" w:rsidTr="004E69BC">
        <w:trPr>
          <w:trHeight w:val="4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Подпрограммы муниципальной         </w:t>
            </w:r>
            <w:r w:rsidRPr="00303E8C">
              <w:rPr>
                <w:sz w:val="22"/>
                <w:szCs w:val="22"/>
              </w:rPr>
              <w:br/>
              <w:t xml:space="preserve">программы                       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Подпрограмма 1. «Управление муниципальным имуществом».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Подпрограмма 2. «Управление  муниципальными финансами».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Подпрограмма 3. «Электронный муниципалитет».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Подпрограмма 4. «Обеспечение реализации муниципальной программы».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Подпрограмма 5. «Противодействие коррупции в муниципальном образовании городского округа «Инта».</w:t>
            </w:r>
          </w:p>
        </w:tc>
      </w:tr>
      <w:tr w:rsidR="004E69BC" w:rsidRPr="00303E8C" w:rsidTr="004E69BC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 w:rsidP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Развитие системы муниципального управления, повышение эффективности и информационной прозрачности деятельности муниципального образования городского округа «Инта»</w:t>
            </w:r>
          </w:p>
        </w:tc>
      </w:tr>
      <w:tr w:rsidR="004E69BC" w:rsidRPr="00303E8C" w:rsidTr="004E69BC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Задачи муниципальной программы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1.Повышение эффективности управления структурой и составом муниципального имущества МОГО «Инта».</w:t>
            </w:r>
          </w:p>
          <w:p w:rsidR="004E69BC" w:rsidRPr="00303E8C" w:rsidRDefault="004E69BC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303E8C">
              <w:rPr>
                <w:rFonts w:ascii="Times New Roman" w:eastAsia="Times New Roman" w:hAnsi="Times New Roman" w:cs="Times New Roman"/>
                <w:lang w:eastAsia="ru-RU"/>
              </w:rPr>
              <w:t>2. Обеспечение долгосрочной сбалансированности и устойчивости бюджетной системы, повышение качества управления муниципальными финансами МОГО «Инта».</w:t>
            </w:r>
          </w:p>
          <w:p w:rsidR="004E69BC" w:rsidRPr="00303E8C" w:rsidRDefault="004E69BC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303E8C">
              <w:rPr>
                <w:rFonts w:ascii="Times New Roman" w:eastAsia="Times New Roman" w:hAnsi="Times New Roman" w:cs="Times New Roman"/>
                <w:lang w:eastAsia="ru-RU"/>
              </w:rPr>
              <w:t>3.Повышение уровня открытости и прозрачности деятельности муниципального образования городского округа «Инта».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4. Обеспечение реализации  подпрограмм, основных мероприятий программы в соответствии с установленными сроками и задачами.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5.Совершенствование системы противодействия коррупции в муниципальном образовании городского округа «Инта».</w:t>
            </w:r>
          </w:p>
        </w:tc>
      </w:tr>
      <w:tr w:rsidR="004E69BC" w:rsidRPr="00303E8C" w:rsidTr="004E69BC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6.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  <w:highlight w:val="yellow"/>
              </w:rPr>
            </w:pPr>
            <w:r w:rsidRPr="00303E8C">
              <w:rPr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color w:val="000000"/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>1.</w:t>
            </w:r>
            <w:r w:rsidRPr="00303E8C">
              <w:rPr>
                <w:color w:val="000000"/>
                <w:sz w:val="22"/>
                <w:szCs w:val="22"/>
                <w:shd w:val="clear" w:color="auto" w:fill="FFFFFF"/>
              </w:rPr>
              <w:t>Доля муниципальных услуг, предоставляемых МОГО «Инта» в электронном виде, в общем объеме муниципальных услуг, предоставляемых органом местного самоуправления (%);</w:t>
            </w:r>
            <w:r w:rsidRPr="00303E8C">
              <w:rPr>
                <w:color w:val="000000"/>
                <w:sz w:val="22"/>
                <w:szCs w:val="22"/>
              </w:rPr>
              <w:br/>
            </w:r>
            <w:r w:rsidRPr="00303E8C">
              <w:rPr>
                <w:color w:val="000000"/>
                <w:sz w:val="22"/>
                <w:szCs w:val="22"/>
              </w:rPr>
              <w:lastRenderedPageBreak/>
              <w:t>2. Уровень удовлетворенности населения деятельностью муниципального образования городского округа «Инта», в том числе информационной открытостью деятельности (% от общего числа опрошенных);</w:t>
            </w:r>
          </w:p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  <w:highlight w:val="yellow"/>
              </w:rPr>
            </w:pPr>
            <w:r w:rsidRPr="00303E8C">
              <w:rPr>
                <w:color w:val="000000"/>
                <w:sz w:val="22"/>
                <w:szCs w:val="22"/>
              </w:rPr>
              <w:t>3.Индекс доверия к сотрудникам  муниципального образования городского округа «Инта» (% от общего числа опрошенных).</w:t>
            </w:r>
          </w:p>
        </w:tc>
      </w:tr>
      <w:tr w:rsidR="004E69BC" w:rsidRPr="00303E8C" w:rsidTr="004E69BC">
        <w:trPr>
          <w:trHeight w:val="4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Этапы и сроки реализации             </w:t>
            </w:r>
            <w:r w:rsidRPr="00303E8C">
              <w:rPr>
                <w:sz w:val="22"/>
                <w:szCs w:val="22"/>
              </w:rPr>
              <w:br/>
              <w:t xml:space="preserve">муниципальной программы       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Период реализации программы 2014-2020гг., выделения этапов не предусматривается. </w:t>
            </w:r>
          </w:p>
        </w:tc>
      </w:tr>
      <w:tr w:rsidR="004E69BC" w:rsidRPr="00303E8C" w:rsidTr="004E69BC">
        <w:trPr>
          <w:trHeight w:val="6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>
            <w:pPr>
              <w:pStyle w:val="ConsPlusCell"/>
              <w:suppressAutoHyphens/>
              <w:rPr>
                <w:sz w:val="22"/>
                <w:szCs w:val="22"/>
              </w:rPr>
            </w:pPr>
            <w:r w:rsidRPr="00303E8C">
              <w:rPr>
                <w:sz w:val="22"/>
                <w:szCs w:val="22"/>
              </w:rPr>
              <w:t xml:space="preserve">Объем бюджетных ассигнований         </w:t>
            </w:r>
            <w:r w:rsidRPr="00303E8C">
              <w:rPr>
                <w:sz w:val="22"/>
                <w:szCs w:val="22"/>
              </w:rPr>
              <w:br/>
              <w:t xml:space="preserve">муниципальной программы за счет  средств местного бюджета (с  расшифровкой плановых объемов бюджетных ассигнований по годам ее   </w:t>
            </w:r>
            <w:r w:rsidRPr="00303E8C">
              <w:rPr>
                <w:sz w:val="22"/>
                <w:szCs w:val="22"/>
              </w:rPr>
              <w:br/>
              <w:t xml:space="preserve">реализации), а также прогнозный объем средств, привлекаемых из других    источников                           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Программы, всего: 1 031 952,8 тыс. руб., в том числе по годам: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2014 год - 176 514,1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- 193 801,2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2016 год - 194 014,1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2017 год - 165 611,9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2018 год – 162 920,6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2019 год – 69 914,1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2020 год – 69 176,8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из них: средства федерального бюджета, всего: 49,0 руб., в том числе по годам: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2014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2016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2017 год - 49,0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2018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2019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2020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Республики Коми, всего: 50,9 руб., в том числе по годам: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2014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2016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2017 год - 50,9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2018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2019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2020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бюджета, всего: </w:t>
            </w:r>
            <w:r w:rsidR="00303E8C">
              <w:rPr>
                <w:rFonts w:ascii="Times New Roman" w:hAnsi="Times New Roman" w:cs="Times New Roman"/>
                <w:sz w:val="20"/>
                <w:szCs w:val="20"/>
              </w:rPr>
              <w:t>973</w:t>
            </w:r>
            <w:r w:rsidR="002F76C8" w:rsidRPr="00303E8C">
              <w:rPr>
                <w:rFonts w:ascii="Times New Roman" w:hAnsi="Times New Roman" w:cs="Times New Roman"/>
                <w:sz w:val="20"/>
                <w:szCs w:val="20"/>
              </w:rPr>
              <w:t> 903,5</w:t>
            </w: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 xml:space="preserve"> тыс. руб., в том числе по годам: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2014 год - 176 514,1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- 162 036,7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2016 год - 176 129,2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2017 год - 165 512,0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2018 год – 15</w:t>
            </w:r>
            <w:r w:rsidR="00303E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 620,6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2019 год – 69 914,1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2020 год – 69 176,8 тыс.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всего: 0,0 руб., в том числе по годам: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2014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2016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2017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2018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2019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2020 год - 0,0 руб.;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задолженность, всего: </w:t>
            </w:r>
            <w:r w:rsidR="00303E8C">
              <w:rPr>
                <w:rFonts w:ascii="Times New Roman" w:hAnsi="Times New Roman" w:cs="Times New Roman"/>
                <w:sz w:val="20"/>
                <w:szCs w:val="20"/>
              </w:rPr>
              <w:t>57 949</w:t>
            </w:r>
            <w:bookmarkStart w:id="0" w:name="_GoBack"/>
            <w:bookmarkEnd w:id="0"/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,4 тыс. руб.</w:t>
            </w:r>
          </w:p>
          <w:p w:rsidR="004E69BC" w:rsidRPr="00303E8C" w:rsidRDefault="004E69BC" w:rsidP="004E69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E8C">
              <w:rPr>
                <w:rFonts w:ascii="Times New Roman" w:hAnsi="Times New Roman" w:cs="Times New Roman"/>
                <w:sz w:val="20"/>
                <w:szCs w:val="20"/>
              </w:rPr>
              <w:t>2015 год - 31 764,5 тыс. руб.;</w:t>
            </w:r>
          </w:p>
          <w:p w:rsidR="004E69BC" w:rsidRPr="00303E8C" w:rsidRDefault="004E69BC" w:rsidP="004E69BC">
            <w:pPr>
              <w:pStyle w:val="ConsPlusCell"/>
              <w:suppressAutoHyphens/>
              <w:rPr>
                <w:sz w:val="20"/>
                <w:szCs w:val="20"/>
              </w:rPr>
            </w:pPr>
            <w:r w:rsidRPr="00303E8C">
              <w:rPr>
                <w:sz w:val="20"/>
                <w:szCs w:val="20"/>
              </w:rPr>
              <w:t>2016 год - 17 884,9 тыс. руб.</w:t>
            </w:r>
          </w:p>
          <w:p w:rsidR="002F76C8" w:rsidRPr="00303E8C" w:rsidRDefault="002F76C8" w:rsidP="002F76C8">
            <w:pPr>
              <w:pStyle w:val="ConsPlusCell"/>
              <w:suppressAutoHyphens/>
              <w:rPr>
                <w:sz w:val="20"/>
                <w:szCs w:val="20"/>
              </w:rPr>
            </w:pPr>
            <w:r w:rsidRPr="00303E8C">
              <w:rPr>
                <w:sz w:val="20"/>
                <w:szCs w:val="20"/>
              </w:rPr>
              <w:t>2017 год – 0,0 тыс. руб.</w:t>
            </w:r>
          </w:p>
          <w:p w:rsidR="002F76C8" w:rsidRPr="00303E8C" w:rsidRDefault="002F76C8" w:rsidP="002F76C8">
            <w:pPr>
              <w:pStyle w:val="ConsPlusCell"/>
              <w:suppressAutoHyphens/>
              <w:rPr>
                <w:sz w:val="20"/>
                <w:szCs w:val="20"/>
              </w:rPr>
            </w:pPr>
            <w:r w:rsidRPr="00303E8C">
              <w:rPr>
                <w:sz w:val="20"/>
                <w:szCs w:val="20"/>
              </w:rPr>
              <w:t>2018 год – 8 300,0 тыс. руб.</w:t>
            </w:r>
          </w:p>
        </w:tc>
      </w:tr>
    </w:tbl>
    <w:p w:rsidR="004E69BC" w:rsidRPr="00303E8C" w:rsidRDefault="004E69BC" w:rsidP="00747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4E69BC" w:rsidRPr="00303E8C" w:rsidRDefault="004E69BC" w:rsidP="00747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sectPr w:rsidR="004E69BC" w:rsidRPr="0030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30"/>
    <w:rsid w:val="00014983"/>
    <w:rsid w:val="002F76C8"/>
    <w:rsid w:val="00303E8C"/>
    <w:rsid w:val="004E69BC"/>
    <w:rsid w:val="00747DB1"/>
    <w:rsid w:val="00F269F7"/>
    <w:rsid w:val="00F57430"/>
    <w:rsid w:val="00FB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E6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E69BC"/>
    <w:rPr>
      <w:rFonts w:ascii="Arial" w:hAnsi="Arial" w:cs="Arial"/>
    </w:rPr>
  </w:style>
  <w:style w:type="paragraph" w:customStyle="1" w:styleId="ConsPlusNormal0">
    <w:name w:val="ConsPlusNormal"/>
    <w:link w:val="ConsPlusNormal"/>
    <w:rsid w:val="004E69B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E6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E69BC"/>
    <w:rPr>
      <w:rFonts w:ascii="Arial" w:hAnsi="Arial" w:cs="Arial"/>
    </w:rPr>
  </w:style>
  <w:style w:type="paragraph" w:customStyle="1" w:styleId="ConsPlusNormal0">
    <w:name w:val="ConsPlusNormal"/>
    <w:link w:val="ConsPlusNormal"/>
    <w:rsid w:val="004E69B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Бегунов Николай Николаевич</dc:creator>
  <cp:lastModifiedBy>Зыкова Светалана</cp:lastModifiedBy>
  <cp:revision>3</cp:revision>
  <cp:lastPrinted>2017-11-09T13:54:00Z</cp:lastPrinted>
  <dcterms:created xsi:type="dcterms:W3CDTF">2017-11-09T13:47:00Z</dcterms:created>
  <dcterms:modified xsi:type="dcterms:W3CDTF">2017-11-09T13:56:00Z</dcterms:modified>
</cp:coreProperties>
</file>